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25D1" w14:textId="77777777" w:rsidR="00A97719" w:rsidRPr="00A97719" w:rsidRDefault="00A97719" w:rsidP="00A97719"/>
    <w:p w14:paraId="500D0E22" w14:textId="77777777" w:rsidR="00A97719" w:rsidRDefault="00A97719" w:rsidP="00A97719">
      <w:pPr>
        <w:pStyle w:val="Titolo1"/>
      </w:pPr>
    </w:p>
    <w:p w14:paraId="6AEB9081" w14:textId="7ED2B1C3" w:rsidR="00A97719" w:rsidRDefault="00A97719" w:rsidP="00A97719">
      <w:pPr>
        <w:pStyle w:val="Titolo1"/>
      </w:pPr>
      <w:r w:rsidRPr="00A97719">
        <w:t>Preventivo Unitas 2024</w:t>
      </w:r>
    </w:p>
    <w:p w14:paraId="0BD07DAC" w14:textId="77777777" w:rsidR="00A97719" w:rsidRDefault="00A97719" w:rsidP="00A97719"/>
    <w:p w14:paraId="2DA7A398" w14:textId="77777777" w:rsidR="00A97719" w:rsidRPr="00A97719" w:rsidRDefault="00A97719" w:rsidP="00A97719">
      <w:r w:rsidRPr="00A97719">
        <w:t>Gentili Signore, Egregi Signori,</w:t>
      </w:r>
    </w:p>
    <w:p w14:paraId="133BD66A" w14:textId="77777777" w:rsidR="00A97719" w:rsidRPr="00A97719" w:rsidRDefault="00A97719" w:rsidP="00A97719"/>
    <w:p w14:paraId="1B1CE49F" w14:textId="3E7B5D43" w:rsidR="00A97719" w:rsidRDefault="00A97719" w:rsidP="00A97719">
      <w:r w:rsidRPr="00A97719">
        <w:t>di seguito trovate il commento alla proposta di budget per il 2024.</w:t>
      </w:r>
    </w:p>
    <w:p w14:paraId="5BFB63D1" w14:textId="77777777" w:rsidR="00A97719" w:rsidRPr="00A97719" w:rsidRDefault="00A97719" w:rsidP="00A97719"/>
    <w:p w14:paraId="22782A0F" w14:textId="77777777" w:rsidR="00A97719" w:rsidRPr="00A97719" w:rsidRDefault="00A97719" w:rsidP="00A97719"/>
    <w:p w14:paraId="47AE19B2" w14:textId="765AA559" w:rsidR="00A97719" w:rsidRPr="00DD3B3C" w:rsidRDefault="00A97719" w:rsidP="00DD3B3C">
      <w:pPr>
        <w:pStyle w:val="Titolo2"/>
      </w:pPr>
      <w:r w:rsidRPr="00DD3B3C">
        <w:t>Premesse</w:t>
      </w:r>
    </w:p>
    <w:p w14:paraId="4F861E84" w14:textId="4C0E7AF8" w:rsidR="00A97719" w:rsidRPr="00A97719" w:rsidRDefault="00A97719" w:rsidP="00A97719">
      <w:pPr>
        <w:pStyle w:val="Paragrafoelenco"/>
        <w:numPr>
          <w:ilvl w:val="1"/>
          <w:numId w:val="2"/>
        </w:numPr>
        <w:spacing w:before="160" w:after="160"/>
        <w:ind w:left="1077" w:hanging="357"/>
        <w:contextualSpacing w:val="0"/>
      </w:pPr>
      <w:r w:rsidRPr="00A97719">
        <w:t xml:space="preserve">La stima di preventivo si basa sulla stima di chiusura 2023. </w:t>
      </w:r>
    </w:p>
    <w:p w14:paraId="239BD137" w14:textId="57CCF778" w:rsidR="00A97719" w:rsidRPr="00A97719" w:rsidRDefault="00A97719" w:rsidP="00A97719">
      <w:pPr>
        <w:pStyle w:val="Paragrafoelenco"/>
        <w:numPr>
          <w:ilvl w:val="1"/>
          <w:numId w:val="2"/>
        </w:numPr>
        <w:spacing w:before="160" w:after="160"/>
        <w:ind w:left="1077" w:hanging="357"/>
        <w:contextualSpacing w:val="0"/>
      </w:pPr>
      <w:r w:rsidRPr="00A97719">
        <w:t>Il preventivo 2024, così come la stima di chiusura 2023, non tiene conto né di eventuali lasciti e legati (vengono considerate solo le donazioni standard e le azioni di fundraising), né del risultato della gestione dei titoli (vengono considerate solo le spese e le entrate fisse). Non tiene neppure conto di eventuali contributi versati dalla Fondazione Unitas e dalla Fondazione Rulfo.</w:t>
      </w:r>
    </w:p>
    <w:p w14:paraId="7CD32CC6" w14:textId="79D0DCAF" w:rsidR="00A97719" w:rsidRPr="00A97719" w:rsidRDefault="00A97719" w:rsidP="00A97719">
      <w:pPr>
        <w:pStyle w:val="Paragrafoelenco"/>
        <w:numPr>
          <w:ilvl w:val="1"/>
          <w:numId w:val="2"/>
        </w:numPr>
        <w:spacing w:before="160" w:after="160"/>
        <w:ind w:left="1077" w:hanging="357"/>
        <w:contextualSpacing w:val="0"/>
      </w:pPr>
      <w:r w:rsidRPr="00A97719">
        <w:t>Le modalità di funzionamento dei contributi globali del Cantone per Casa Andreina così come per Casa Tarcisio sono inoltre alquanto complesse e permettono di avere il risultato effettivo solo con un ritardo di due anni (anno di esercizio, anno successivo con allestimento del consuntivo, anno successivo ancora per l’addebito/accredito di un eventuale conguaglio relativo all’anno di esercizio in oggetto). È stata fatta una stima ragionevole del contributo globale che verrà versato nel 2024, sulla base di preventivi e consuntivi degli anni precedenti.</w:t>
      </w:r>
    </w:p>
    <w:p w14:paraId="0BABFA61" w14:textId="3622BE1F" w:rsidR="00A97719" w:rsidRPr="00A97719" w:rsidRDefault="00A97719" w:rsidP="00A97719">
      <w:pPr>
        <w:pStyle w:val="Paragrafoelenco"/>
        <w:numPr>
          <w:ilvl w:val="1"/>
          <w:numId w:val="2"/>
        </w:numPr>
        <w:spacing w:before="160" w:after="160"/>
        <w:ind w:left="1077" w:hanging="357"/>
        <w:contextualSpacing w:val="0"/>
      </w:pPr>
      <w:r w:rsidRPr="00A97719">
        <w:t xml:space="preserve">La contabilità di Casa Tarcisio è gestita separatamente e utilizza un differente piano contabile, motivo per cui al risultato di preventivo viene aggiunto infine il preventivo di Casa Tarcisio per ottenere un risultato complessivo. </w:t>
      </w:r>
    </w:p>
    <w:p w14:paraId="4024BBA7" w14:textId="08219B1D" w:rsidR="00A97719" w:rsidRDefault="00A97719" w:rsidP="00A97719">
      <w:pPr>
        <w:pStyle w:val="Paragrafoelenco"/>
        <w:numPr>
          <w:ilvl w:val="1"/>
          <w:numId w:val="2"/>
        </w:numPr>
        <w:spacing w:before="160" w:after="160"/>
        <w:ind w:left="1077" w:hanging="357"/>
        <w:contextualSpacing w:val="0"/>
      </w:pPr>
      <w:r w:rsidRPr="00A97719">
        <w:t>Nel 2024 siamo confrontati con le misure di risparmio previste dal Cantone che riguardano 3 aspetti principali: taglio lineare stimato dell’1.5% ai contributi (a preventivo abbiamo inserito un taglio lineare ai contributi del 2%); prelievo parziale dei fondi accumulati per Casa Tarcisio di circa il 40%; rallentamento/posticipo di nuovi progetti settoriali (non tocca direttamente i contributi versati).</w:t>
      </w:r>
      <w:r>
        <w:br w:type="page"/>
      </w:r>
    </w:p>
    <w:p w14:paraId="43F9985B" w14:textId="596527C7" w:rsidR="00D65986" w:rsidRDefault="00A97719" w:rsidP="00DD3B3C">
      <w:pPr>
        <w:pStyle w:val="Titolo2"/>
      </w:pPr>
      <w:r w:rsidRPr="00A97719">
        <w:lastRenderedPageBreak/>
        <w:t xml:space="preserve">Riassunto dei dati </w:t>
      </w:r>
    </w:p>
    <w:p w14:paraId="16961A3C" w14:textId="77777777" w:rsidR="00D65986" w:rsidRPr="00D65986" w:rsidRDefault="00D65986" w:rsidP="00D65986">
      <w:pPr>
        <w:tabs>
          <w:tab w:val="left" w:pos="851"/>
          <w:tab w:val="left" w:pos="2835"/>
        </w:tabs>
        <w:spacing w:after="160" w:line="259" w:lineRule="auto"/>
        <w:contextualSpacing/>
        <w:jc w:val="left"/>
        <w:rPr>
          <w:rFonts w:eastAsia="Calibri"/>
          <w:sz w:val="20"/>
          <w:szCs w:val="20"/>
          <w:lang w:val="it-CH"/>
        </w:rPr>
      </w:pPr>
    </w:p>
    <w:tbl>
      <w:tblPr>
        <w:tblW w:w="82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283"/>
        <w:gridCol w:w="1417"/>
        <w:gridCol w:w="1005"/>
      </w:tblGrid>
      <w:tr w:rsidR="00D65986" w:rsidRPr="00D65986" w14:paraId="1658A4EC" w14:textId="77777777" w:rsidTr="00FC1C79">
        <w:trPr>
          <w:trHeight w:val="255"/>
          <w:jc w:val="center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ADB4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B9A4" w14:textId="77777777" w:rsidR="00D65986" w:rsidRPr="00D65986" w:rsidRDefault="00D65986" w:rsidP="00D6598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ADF5" w14:textId="77777777" w:rsidR="00D65986" w:rsidRPr="00D65986" w:rsidRDefault="00D65986" w:rsidP="00D65986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Stima C2023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60B3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Diff. CHF</w:t>
            </w:r>
          </w:p>
        </w:tc>
      </w:tr>
      <w:tr w:rsidR="00D65986" w:rsidRPr="00D65986" w14:paraId="79EA2B5D" w14:textId="77777777" w:rsidTr="00FC1C79">
        <w:trPr>
          <w:trHeight w:val="255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A8CE" w14:textId="77777777" w:rsidR="00D65986" w:rsidRPr="00D65986" w:rsidRDefault="00D65986" w:rsidP="00D65986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Contributi e sussidi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D414" w14:textId="77777777" w:rsidR="00D65986" w:rsidRPr="0013318F" w:rsidRDefault="00D65986" w:rsidP="00D65986">
            <w:pPr>
              <w:jc w:val="right"/>
              <w:rPr>
                <w:rFonts w:eastAsia="Times New Roman" w:cs="Times New Roman"/>
                <w:color w:val="C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3318F">
              <w:rPr>
                <w:rFonts w:eastAsia="Times New Roman" w:cs="Times New Roman"/>
                <w:color w:val="C00000"/>
                <w:kern w:val="0"/>
                <w:sz w:val="20"/>
                <w:szCs w:val="20"/>
                <w:lang w:eastAsia="it-IT"/>
                <w14:ligatures w14:val="none"/>
              </w:rPr>
              <w:t xml:space="preserve">-1'593’000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FD07" w14:textId="77777777" w:rsidR="00D65986" w:rsidRPr="0013318F" w:rsidRDefault="00D65986" w:rsidP="00D65986">
            <w:pPr>
              <w:jc w:val="right"/>
              <w:rPr>
                <w:rFonts w:eastAsia="Times New Roman" w:cs="Times New Roman"/>
                <w:color w:val="C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3318F">
              <w:rPr>
                <w:rFonts w:eastAsia="Times New Roman" w:cs="Times New Roman"/>
                <w:color w:val="C00000"/>
                <w:kern w:val="0"/>
                <w:sz w:val="20"/>
                <w:szCs w:val="20"/>
                <w:lang w:eastAsia="it-IT"/>
                <w14:ligatures w14:val="none"/>
              </w:rPr>
              <w:t xml:space="preserve">-1'567’600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BAAF77" w14:textId="77777777" w:rsidR="00D65986" w:rsidRPr="0013318F" w:rsidRDefault="00D65986" w:rsidP="00D65986">
            <w:pPr>
              <w:jc w:val="right"/>
              <w:rPr>
                <w:rFonts w:eastAsia="Times New Roman" w:cs="Times New Roman"/>
                <w:i/>
                <w:iCs/>
                <w:color w:val="C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3318F">
              <w:rPr>
                <w:rFonts w:eastAsia="Times New Roman" w:cs="Times New Roman"/>
                <w:i/>
                <w:iCs/>
                <w:color w:val="C00000"/>
                <w:kern w:val="0"/>
                <w:sz w:val="20"/>
                <w:szCs w:val="20"/>
                <w:lang w:eastAsia="it-IT"/>
                <w14:ligatures w14:val="none"/>
              </w:rPr>
              <w:t>-25’400</w:t>
            </w:r>
          </w:p>
        </w:tc>
      </w:tr>
      <w:tr w:rsidR="00D65986" w:rsidRPr="00D65986" w14:paraId="0CE9F058" w14:textId="77777777" w:rsidTr="00FC1C79">
        <w:trPr>
          <w:trHeight w:val="255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E8566" w14:textId="77777777" w:rsidR="00D65986" w:rsidRPr="00D65986" w:rsidRDefault="00D65986" w:rsidP="00D65986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/>
                <w:sz w:val="16"/>
                <w:szCs w:val="16"/>
                <w:lang w:val="it-CH"/>
              </w:rPr>
            </w:pPr>
            <w:r w:rsidRPr="00D65986">
              <w:rPr>
                <w:rFonts w:eastAsia="Calibri"/>
                <w:sz w:val="16"/>
                <w:szCs w:val="16"/>
                <w:lang w:val="it-CH"/>
              </w:rPr>
              <w:t>Tasse sociali</w:t>
            </w:r>
          </w:p>
          <w:p w14:paraId="21A06236" w14:textId="77777777" w:rsidR="00D65986" w:rsidRPr="00D65986" w:rsidRDefault="00D65986" w:rsidP="00D65986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/>
                <w:sz w:val="16"/>
                <w:szCs w:val="16"/>
                <w:lang w:val="it-CH"/>
              </w:rPr>
            </w:pPr>
            <w:r w:rsidRPr="00D65986">
              <w:rPr>
                <w:rFonts w:eastAsia="Calibri"/>
                <w:sz w:val="16"/>
                <w:szCs w:val="16"/>
                <w:lang w:val="it-CH"/>
              </w:rPr>
              <w:t>Donazioni e fund raising</w:t>
            </w:r>
          </w:p>
          <w:p w14:paraId="20E48863" w14:textId="77777777" w:rsidR="00D65986" w:rsidRPr="00D65986" w:rsidRDefault="00D65986" w:rsidP="00D65986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ascii="Calibri" w:eastAsia="Calibri" w:hAnsi="Calibri" w:cs="Times New Roman"/>
                <w:sz w:val="16"/>
                <w:szCs w:val="16"/>
                <w:lang w:val="it-CH"/>
              </w:rPr>
            </w:pPr>
            <w:r w:rsidRPr="00D65986">
              <w:rPr>
                <w:rFonts w:eastAsia="Calibri"/>
                <w:sz w:val="16"/>
                <w:szCs w:val="16"/>
                <w:lang w:val="it-CH"/>
              </w:rPr>
              <w:t>Contributi pubblici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0FE7A" w14:textId="77777777" w:rsidR="00D65986" w:rsidRPr="0013318F" w:rsidRDefault="00D65986" w:rsidP="00D65986">
            <w:pPr>
              <w:ind w:left="360"/>
              <w:jc w:val="right"/>
              <w:rPr>
                <w:rFonts w:eastAsia="Times New Roman" w:cs="Times New Roman"/>
                <w:color w:val="C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3318F">
              <w:rPr>
                <w:rFonts w:eastAsia="Times New Roman" w:cs="Times New Roman"/>
                <w:color w:val="C00000"/>
                <w:kern w:val="0"/>
                <w:sz w:val="18"/>
                <w:szCs w:val="18"/>
                <w:lang w:eastAsia="it-IT"/>
                <w14:ligatures w14:val="none"/>
              </w:rPr>
              <w:t>-24’000</w:t>
            </w:r>
          </w:p>
          <w:p w14:paraId="103F7739" w14:textId="77777777" w:rsidR="00D65986" w:rsidRPr="0013318F" w:rsidRDefault="00D65986" w:rsidP="00D65986">
            <w:pPr>
              <w:jc w:val="right"/>
              <w:rPr>
                <w:rFonts w:eastAsia="Times New Roman" w:cs="Times New Roman"/>
                <w:color w:val="C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3318F">
              <w:rPr>
                <w:rFonts w:eastAsia="Times New Roman" w:cs="Times New Roman"/>
                <w:color w:val="C00000"/>
                <w:kern w:val="0"/>
                <w:sz w:val="18"/>
                <w:szCs w:val="18"/>
                <w:lang w:eastAsia="it-IT"/>
                <w14:ligatures w14:val="none"/>
              </w:rPr>
              <w:t>-140’000</w:t>
            </w:r>
          </w:p>
          <w:p w14:paraId="6DCD8492" w14:textId="77777777" w:rsidR="00D65986" w:rsidRPr="0013318F" w:rsidRDefault="00D65986" w:rsidP="00D65986">
            <w:pPr>
              <w:jc w:val="right"/>
              <w:rPr>
                <w:rFonts w:eastAsia="Times New Roman" w:cs="Times New Roman"/>
                <w:color w:val="C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3318F">
              <w:rPr>
                <w:rFonts w:eastAsia="Times New Roman" w:cs="Times New Roman"/>
                <w:color w:val="C00000"/>
                <w:kern w:val="0"/>
                <w:sz w:val="18"/>
                <w:szCs w:val="18"/>
                <w:lang w:eastAsia="it-IT"/>
                <w14:ligatures w14:val="none"/>
              </w:rPr>
              <w:t xml:space="preserve">-1'429’000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3BE18" w14:textId="77777777" w:rsidR="00D65986" w:rsidRPr="0013318F" w:rsidRDefault="00D65986" w:rsidP="00D65986">
            <w:pPr>
              <w:jc w:val="right"/>
              <w:rPr>
                <w:rFonts w:eastAsia="Times New Roman" w:cs="Times New Roman"/>
                <w:color w:val="C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804529" w14:textId="77777777" w:rsidR="00D65986" w:rsidRPr="0013318F" w:rsidRDefault="00D65986" w:rsidP="00D65986">
            <w:pPr>
              <w:jc w:val="right"/>
              <w:rPr>
                <w:rFonts w:eastAsia="Times New Roman" w:cs="Times New Roman"/>
                <w:i/>
                <w:iCs/>
                <w:color w:val="C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65986" w:rsidRPr="00D65986" w14:paraId="5AFD1D4D" w14:textId="77777777" w:rsidTr="00FC1C79">
        <w:trPr>
          <w:trHeight w:val="255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1587" w14:textId="77777777" w:rsidR="00D65986" w:rsidRPr="00D65986" w:rsidRDefault="00D65986" w:rsidP="00D65986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Ricavi da prestazioni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49280" w14:textId="77777777" w:rsidR="00D65986" w:rsidRPr="0013318F" w:rsidRDefault="00D65986" w:rsidP="00D65986">
            <w:pPr>
              <w:jc w:val="right"/>
              <w:rPr>
                <w:rFonts w:eastAsia="Times New Roman" w:cs="Times New Roman"/>
                <w:color w:val="C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3318F">
              <w:rPr>
                <w:rFonts w:eastAsia="Times New Roman" w:cs="Times New Roman"/>
                <w:color w:val="C00000"/>
                <w:kern w:val="0"/>
                <w:sz w:val="20"/>
                <w:szCs w:val="20"/>
                <w:lang w:eastAsia="it-IT"/>
                <w14:ligatures w14:val="none"/>
              </w:rPr>
              <w:t>-876’800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4F5D8" w14:textId="77777777" w:rsidR="00D65986" w:rsidRPr="0013318F" w:rsidRDefault="00D65986" w:rsidP="00D65986">
            <w:pPr>
              <w:jc w:val="right"/>
              <w:rPr>
                <w:rFonts w:eastAsia="Times New Roman" w:cs="Times New Roman"/>
                <w:color w:val="C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3318F">
              <w:rPr>
                <w:rFonts w:eastAsia="Times New Roman" w:cs="Times New Roman"/>
                <w:color w:val="C00000"/>
                <w:kern w:val="0"/>
                <w:sz w:val="20"/>
                <w:szCs w:val="20"/>
                <w:lang w:eastAsia="it-IT"/>
                <w14:ligatures w14:val="none"/>
              </w:rPr>
              <w:t>-798’250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685E79" w14:textId="77777777" w:rsidR="00D65986" w:rsidRPr="0013318F" w:rsidRDefault="00D65986" w:rsidP="00D65986">
            <w:pPr>
              <w:jc w:val="right"/>
              <w:rPr>
                <w:rFonts w:eastAsia="Times New Roman" w:cs="Times New Roman"/>
                <w:i/>
                <w:iCs/>
                <w:color w:val="C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3318F">
              <w:rPr>
                <w:rFonts w:eastAsia="Times New Roman" w:cs="Times New Roman"/>
                <w:i/>
                <w:iCs/>
                <w:color w:val="C00000"/>
                <w:kern w:val="0"/>
                <w:sz w:val="20"/>
                <w:szCs w:val="20"/>
                <w:lang w:eastAsia="it-IT"/>
                <w14:ligatures w14:val="none"/>
              </w:rPr>
              <w:t>-78’550</w:t>
            </w:r>
          </w:p>
        </w:tc>
      </w:tr>
      <w:tr w:rsidR="00D65986" w:rsidRPr="00D65986" w14:paraId="462F42BF" w14:textId="77777777" w:rsidTr="00FC1C79">
        <w:trPr>
          <w:trHeight w:val="255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9E88B" w14:textId="77777777" w:rsidR="00D65986" w:rsidRPr="00D65986" w:rsidRDefault="00D65986" w:rsidP="00D65986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/>
                <w:sz w:val="18"/>
                <w:szCs w:val="18"/>
                <w:lang w:val="it-CH"/>
              </w:rPr>
            </w:pPr>
            <w:r w:rsidRPr="00D65986">
              <w:rPr>
                <w:rFonts w:eastAsia="Calibri"/>
                <w:sz w:val="16"/>
                <w:szCs w:val="16"/>
                <w:lang w:val="it-CH"/>
              </w:rPr>
              <w:t>Ricavi prestazioni servizi e materiale</w:t>
            </w:r>
          </w:p>
          <w:p w14:paraId="033AE09C" w14:textId="77777777" w:rsidR="00D65986" w:rsidRPr="00D65986" w:rsidRDefault="00D65986" w:rsidP="00D65986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/>
                <w:sz w:val="16"/>
                <w:szCs w:val="16"/>
                <w:lang w:val="it-CH"/>
              </w:rPr>
            </w:pPr>
            <w:r w:rsidRPr="00D65986">
              <w:rPr>
                <w:rFonts w:eastAsia="Calibri"/>
                <w:sz w:val="16"/>
                <w:szCs w:val="16"/>
                <w:lang w:val="it-CH"/>
              </w:rPr>
              <w:t>Ricavi commerciali</w:t>
            </w:r>
          </w:p>
          <w:p w14:paraId="04C7786C" w14:textId="77777777" w:rsidR="00D65986" w:rsidRPr="00D65986" w:rsidRDefault="00D65986" w:rsidP="00D65986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ascii="Calibri" w:eastAsia="Calibri" w:hAnsi="Calibri" w:cs="Times New Roman"/>
                <w:sz w:val="20"/>
                <w:szCs w:val="20"/>
                <w:lang w:val="it-CH"/>
              </w:rPr>
            </w:pPr>
            <w:r w:rsidRPr="00D65986">
              <w:rPr>
                <w:rFonts w:eastAsia="Calibri"/>
                <w:sz w:val="16"/>
                <w:szCs w:val="16"/>
                <w:lang w:val="it-CH"/>
              </w:rPr>
              <w:t>Altri ricavi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3801B" w14:textId="77777777" w:rsidR="00D65986" w:rsidRPr="0013318F" w:rsidRDefault="00D65986" w:rsidP="00D65986">
            <w:pPr>
              <w:ind w:left="360"/>
              <w:jc w:val="right"/>
              <w:rPr>
                <w:rFonts w:eastAsia="Times New Roman" w:cs="Times New Roman"/>
                <w:color w:val="C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3318F">
              <w:rPr>
                <w:rFonts w:eastAsia="Times New Roman" w:cs="Times New Roman"/>
                <w:color w:val="C00000"/>
                <w:kern w:val="0"/>
                <w:sz w:val="18"/>
                <w:szCs w:val="18"/>
                <w:lang w:eastAsia="it-IT"/>
                <w14:ligatures w14:val="none"/>
              </w:rPr>
              <w:t>-702’500</w:t>
            </w:r>
          </w:p>
          <w:p w14:paraId="4B36777A" w14:textId="77777777" w:rsidR="00D65986" w:rsidRPr="0013318F" w:rsidRDefault="00D65986" w:rsidP="00D65986">
            <w:pPr>
              <w:ind w:left="360"/>
              <w:jc w:val="right"/>
              <w:rPr>
                <w:rFonts w:eastAsia="Times New Roman" w:cs="Times New Roman"/>
                <w:color w:val="C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3318F">
              <w:rPr>
                <w:rFonts w:eastAsia="Times New Roman" w:cs="Times New Roman"/>
                <w:color w:val="C00000"/>
                <w:kern w:val="0"/>
                <w:sz w:val="18"/>
                <w:szCs w:val="18"/>
                <w:lang w:eastAsia="it-IT"/>
                <w14:ligatures w14:val="none"/>
              </w:rPr>
              <w:t>-115’000</w:t>
            </w:r>
          </w:p>
          <w:p w14:paraId="03925645" w14:textId="77777777" w:rsidR="00D65986" w:rsidRPr="0013318F" w:rsidRDefault="00D65986" w:rsidP="00D65986">
            <w:pPr>
              <w:ind w:left="360"/>
              <w:jc w:val="right"/>
              <w:rPr>
                <w:rFonts w:eastAsia="Times New Roman" w:cs="Times New Roman"/>
                <w:color w:val="C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3318F">
              <w:rPr>
                <w:rFonts w:eastAsia="Times New Roman" w:cs="Times New Roman"/>
                <w:color w:val="C00000"/>
                <w:kern w:val="0"/>
                <w:sz w:val="18"/>
                <w:szCs w:val="18"/>
                <w:lang w:eastAsia="it-IT"/>
                <w14:ligatures w14:val="none"/>
              </w:rPr>
              <w:t>-59’300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44B77" w14:textId="77777777" w:rsidR="00D65986" w:rsidRPr="0013318F" w:rsidRDefault="00D65986" w:rsidP="00D65986">
            <w:pPr>
              <w:jc w:val="right"/>
              <w:rPr>
                <w:rFonts w:eastAsia="Times New Roman" w:cs="Times New Roman"/>
                <w:color w:val="C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CFE91F" w14:textId="77777777" w:rsidR="00D65986" w:rsidRPr="0013318F" w:rsidRDefault="00D65986" w:rsidP="00D65986">
            <w:pPr>
              <w:jc w:val="right"/>
              <w:rPr>
                <w:rFonts w:eastAsia="Times New Roman" w:cs="Times New Roman"/>
                <w:i/>
                <w:iCs/>
                <w:color w:val="C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65986" w:rsidRPr="00D65986" w14:paraId="44905DCF" w14:textId="77777777" w:rsidTr="00D65986">
        <w:trPr>
          <w:trHeight w:val="255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1E20763A" w14:textId="77777777" w:rsidR="00D65986" w:rsidRPr="00D65986" w:rsidRDefault="00D65986" w:rsidP="00D65986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TOTALE RICAVI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14:paraId="5E644491" w14:textId="77777777" w:rsidR="00D65986" w:rsidRPr="0013318F" w:rsidRDefault="00D65986" w:rsidP="00D65986">
            <w:pPr>
              <w:jc w:val="right"/>
              <w:rPr>
                <w:rFonts w:eastAsia="Times New Roman" w:cs="Times New Roman"/>
                <w:b/>
                <w:bCs/>
                <w:color w:val="C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3318F">
              <w:rPr>
                <w:rFonts w:eastAsia="Times New Roman" w:cs="Times New Roman"/>
                <w:b/>
                <w:bCs/>
                <w:color w:val="C00000"/>
                <w:kern w:val="0"/>
                <w:sz w:val="20"/>
                <w:szCs w:val="20"/>
                <w:lang w:eastAsia="it-IT"/>
                <w14:ligatures w14:val="none"/>
              </w:rPr>
              <w:t>-2'469’800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14:paraId="47A7630A" w14:textId="77777777" w:rsidR="00D65986" w:rsidRPr="0013318F" w:rsidRDefault="00D65986" w:rsidP="00D65986">
            <w:pPr>
              <w:jc w:val="right"/>
              <w:rPr>
                <w:rFonts w:eastAsia="Times New Roman" w:cs="Times New Roman"/>
                <w:b/>
                <w:bCs/>
                <w:color w:val="C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3318F">
              <w:rPr>
                <w:rFonts w:eastAsia="Times New Roman" w:cs="Times New Roman"/>
                <w:b/>
                <w:bCs/>
                <w:color w:val="C00000"/>
                <w:kern w:val="0"/>
                <w:sz w:val="20"/>
                <w:szCs w:val="20"/>
                <w:lang w:eastAsia="it-IT"/>
                <w14:ligatures w14:val="none"/>
              </w:rPr>
              <w:t>-2’365’850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</w:tcBorders>
            <w:shd w:val="clear" w:color="auto" w:fill="FDE9D9"/>
            <w:noWrap/>
            <w:vAlign w:val="bottom"/>
          </w:tcPr>
          <w:p w14:paraId="7B8F53D7" w14:textId="77777777" w:rsidR="00D65986" w:rsidRPr="0013318F" w:rsidRDefault="00D65986" w:rsidP="00D65986">
            <w:pPr>
              <w:jc w:val="right"/>
              <w:rPr>
                <w:rFonts w:eastAsia="Times New Roman" w:cs="Times New Roman"/>
                <w:i/>
                <w:iCs/>
                <w:color w:val="C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3318F">
              <w:rPr>
                <w:rFonts w:eastAsia="Times New Roman" w:cs="Times New Roman"/>
                <w:i/>
                <w:iCs/>
                <w:color w:val="C00000"/>
                <w:kern w:val="0"/>
                <w:sz w:val="20"/>
                <w:szCs w:val="20"/>
                <w:lang w:eastAsia="it-IT"/>
                <w14:ligatures w14:val="none"/>
              </w:rPr>
              <w:t>-103’950</w:t>
            </w:r>
          </w:p>
        </w:tc>
      </w:tr>
      <w:tr w:rsidR="00D65986" w:rsidRPr="00D65986" w14:paraId="1257D262" w14:textId="77777777" w:rsidTr="00FC1C79">
        <w:trPr>
          <w:trHeight w:val="255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AE08" w14:textId="77777777" w:rsidR="00D65986" w:rsidRPr="00D65986" w:rsidRDefault="00D65986" w:rsidP="00D65986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Costi di funzionamento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04EF5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773’200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1F5FA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743’400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A66405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it-IT"/>
                <w14:ligatures w14:val="none"/>
              </w:rPr>
              <w:t>29’800</w:t>
            </w:r>
          </w:p>
        </w:tc>
      </w:tr>
      <w:tr w:rsidR="00D65986" w:rsidRPr="00D65986" w14:paraId="3E7B3A07" w14:textId="77777777" w:rsidTr="00FC1C79">
        <w:trPr>
          <w:trHeight w:val="255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EC6C7" w14:textId="77777777" w:rsidR="00D65986" w:rsidRPr="00D65986" w:rsidRDefault="00D65986" w:rsidP="00D65986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/>
                <w:sz w:val="16"/>
                <w:szCs w:val="16"/>
                <w:lang w:val="it-CH"/>
              </w:rPr>
            </w:pPr>
            <w:r w:rsidRPr="00D65986">
              <w:rPr>
                <w:rFonts w:eastAsia="Calibri"/>
                <w:sz w:val="16"/>
                <w:szCs w:val="16"/>
                <w:lang w:val="it-CH"/>
              </w:rPr>
              <w:t>Costi ricerca fondi</w:t>
            </w:r>
          </w:p>
          <w:p w14:paraId="738C9D93" w14:textId="77777777" w:rsidR="00D65986" w:rsidRPr="00D65986" w:rsidRDefault="00D65986" w:rsidP="00D65986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/>
                <w:sz w:val="16"/>
                <w:szCs w:val="16"/>
                <w:lang w:val="it-CH"/>
              </w:rPr>
            </w:pPr>
            <w:r w:rsidRPr="00D65986">
              <w:rPr>
                <w:rFonts w:eastAsia="Calibri"/>
                <w:sz w:val="16"/>
                <w:szCs w:val="16"/>
                <w:lang w:val="it-CH"/>
              </w:rPr>
              <w:t>Costi funzionamento, materiale e attività</w:t>
            </w:r>
          </w:p>
          <w:p w14:paraId="74861612" w14:textId="77777777" w:rsidR="00D65986" w:rsidRPr="00D65986" w:rsidRDefault="00D65986" w:rsidP="00D65986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ascii="Calibri" w:eastAsia="Calibri" w:hAnsi="Calibri" w:cs="Times New Roman"/>
                <w:sz w:val="18"/>
                <w:szCs w:val="18"/>
                <w:lang w:val="it-CH"/>
              </w:rPr>
            </w:pPr>
            <w:r w:rsidRPr="00D65986">
              <w:rPr>
                <w:rFonts w:eastAsia="Calibri"/>
                <w:sz w:val="16"/>
                <w:szCs w:val="16"/>
                <w:lang w:val="it-CH"/>
              </w:rPr>
              <w:t>Costi veicoli e trasporti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9B28A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40’000</w:t>
            </w:r>
          </w:p>
          <w:p w14:paraId="2A1337AB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563’500</w:t>
            </w:r>
          </w:p>
          <w:p w14:paraId="3E4B654D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169’700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A0E11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7A8CDF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65986" w:rsidRPr="00D65986" w14:paraId="5C7E1EC2" w14:textId="77777777" w:rsidTr="00FC1C79">
        <w:trPr>
          <w:trHeight w:val="255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F17E" w14:textId="77777777" w:rsidR="00D65986" w:rsidRPr="00D65986" w:rsidRDefault="00D65986" w:rsidP="00D65986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Costi del personale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6252C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2'786’800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CDDE1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2'506’400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B8D2DC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it-IT"/>
                <w14:ligatures w14:val="none"/>
              </w:rPr>
              <w:t>280’400</w:t>
            </w:r>
          </w:p>
        </w:tc>
      </w:tr>
      <w:tr w:rsidR="00D65986" w:rsidRPr="00D65986" w14:paraId="386D7DB2" w14:textId="77777777" w:rsidTr="00FC1C79">
        <w:trPr>
          <w:trHeight w:val="255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ED456" w14:textId="77777777" w:rsidR="00D65986" w:rsidRPr="00D65986" w:rsidRDefault="00D65986" w:rsidP="00D65986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ascii="Calibri" w:eastAsia="Calibri" w:hAnsi="Calibri" w:cs="Times New Roman"/>
                <w:sz w:val="20"/>
                <w:szCs w:val="20"/>
                <w:lang w:val="it-CH"/>
              </w:rPr>
            </w:pPr>
            <w:r w:rsidRPr="00D65986">
              <w:rPr>
                <w:rFonts w:eastAsia="Calibri"/>
                <w:sz w:val="16"/>
                <w:szCs w:val="16"/>
                <w:lang w:val="it-CH"/>
              </w:rPr>
              <w:t>Costi salari e assicurazioni sociali</w:t>
            </w:r>
          </w:p>
          <w:p w14:paraId="4FD4DB9B" w14:textId="77777777" w:rsidR="00D65986" w:rsidRPr="00D65986" w:rsidRDefault="00D65986" w:rsidP="00D65986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ascii="Calibri" w:eastAsia="Calibri" w:hAnsi="Calibri" w:cs="Times New Roman"/>
                <w:sz w:val="20"/>
                <w:szCs w:val="20"/>
                <w:lang w:val="it-CH"/>
              </w:rPr>
            </w:pPr>
            <w:r w:rsidRPr="00D65986">
              <w:rPr>
                <w:rFonts w:eastAsia="Calibri"/>
                <w:sz w:val="16"/>
                <w:szCs w:val="16"/>
                <w:lang w:val="it-CH"/>
              </w:rPr>
              <w:t>Altri costi del personale e prestazioni di terzi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9A698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kern w:val="0"/>
                <w:sz w:val="18"/>
                <w:szCs w:val="18"/>
                <w:lang w:val="it-CH"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18"/>
                <w:szCs w:val="18"/>
                <w:lang w:val="it-CH" w:eastAsia="it-IT"/>
                <w14:ligatures w14:val="none"/>
              </w:rPr>
              <w:t>2'614’800</w:t>
            </w:r>
          </w:p>
          <w:p w14:paraId="0B78F488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kern w:val="0"/>
                <w:sz w:val="18"/>
                <w:szCs w:val="18"/>
                <w:lang w:val="it-CH"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18"/>
                <w:szCs w:val="18"/>
                <w:lang w:val="it-CH" w:eastAsia="it-IT"/>
                <w14:ligatures w14:val="none"/>
              </w:rPr>
              <w:t>172’000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9BAAE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8B84AC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65986" w:rsidRPr="00D65986" w14:paraId="0E824C1A" w14:textId="77777777" w:rsidTr="00FC1C79">
        <w:trPr>
          <w:trHeight w:val="255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ECE1" w14:textId="77777777" w:rsidR="00D65986" w:rsidRPr="00D65986" w:rsidRDefault="00D65986" w:rsidP="00D65986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Altri costi d’esercizio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B5E10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481’700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45BFC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479'729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99BA05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it-IT"/>
                <w14:ligatures w14:val="none"/>
              </w:rPr>
              <w:t>1’971</w:t>
            </w:r>
          </w:p>
        </w:tc>
      </w:tr>
      <w:tr w:rsidR="00D65986" w:rsidRPr="00D65986" w14:paraId="70A370F9" w14:textId="77777777" w:rsidTr="00FC1C79">
        <w:trPr>
          <w:trHeight w:val="255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E45B5" w14:textId="77777777" w:rsidR="00D65986" w:rsidRPr="00D65986" w:rsidRDefault="00D65986" w:rsidP="00D65986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ascii="Calibri" w:eastAsia="Calibri" w:hAnsi="Calibri" w:cs="Times New Roman"/>
                <w:sz w:val="16"/>
                <w:szCs w:val="16"/>
                <w:lang w:val="it-CH"/>
              </w:rPr>
            </w:pPr>
            <w:r w:rsidRPr="00D65986">
              <w:rPr>
                <w:rFonts w:eastAsia="Calibri"/>
                <w:sz w:val="16"/>
                <w:szCs w:val="16"/>
                <w:lang w:val="it-CH"/>
              </w:rPr>
              <w:t>Costi locali, manutenzioni e riparazioni</w:t>
            </w:r>
          </w:p>
          <w:p w14:paraId="33B4F670" w14:textId="77777777" w:rsidR="00D65986" w:rsidRPr="00D65986" w:rsidRDefault="00D65986" w:rsidP="00D65986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/>
                <w:sz w:val="16"/>
                <w:szCs w:val="16"/>
                <w:lang w:val="it-CH"/>
              </w:rPr>
            </w:pPr>
            <w:r w:rsidRPr="00D65986">
              <w:rPr>
                <w:rFonts w:eastAsia="Calibri"/>
                <w:sz w:val="16"/>
                <w:szCs w:val="16"/>
                <w:lang w:val="it-CH"/>
              </w:rPr>
              <w:t>Costi assicurazioni e tasse</w:t>
            </w:r>
          </w:p>
          <w:p w14:paraId="405EFDAE" w14:textId="77777777" w:rsidR="00D65986" w:rsidRPr="00D65986" w:rsidRDefault="00D65986" w:rsidP="00D65986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/>
                <w:sz w:val="16"/>
                <w:szCs w:val="16"/>
                <w:lang w:val="it-CH"/>
              </w:rPr>
            </w:pPr>
            <w:r w:rsidRPr="00D65986">
              <w:rPr>
                <w:rFonts w:eastAsia="Calibri"/>
                <w:sz w:val="16"/>
                <w:szCs w:val="16"/>
                <w:lang w:val="it-CH"/>
              </w:rPr>
              <w:t>Costi energia e smaltimento</w:t>
            </w:r>
          </w:p>
          <w:p w14:paraId="1736D1A2" w14:textId="77777777" w:rsidR="00D65986" w:rsidRPr="00D65986" w:rsidRDefault="00D65986" w:rsidP="00D65986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/>
                <w:sz w:val="16"/>
                <w:szCs w:val="16"/>
                <w:lang w:val="it-CH"/>
              </w:rPr>
            </w:pPr>
            <w:r w:rsidRPr="00D65986">
              <w:rPr>
                <w:rFonts w:eastAsia="Calibri"/>
                <w:sz w:val="16"/>
                <w:szCs w:val="16"/>
                <w:lang w:val="it-CH"/>
              </w:rPr>
              <w:t>Costi amministrativi e informatici</w:t>
            </w:r>
          </w:p>
          <w:p w14:paraId="2D14EA07" w14:textId="77777777" w:rsidR="00D65986" w:rsidRPr="00D65986" w:rsidRDefault="00D65986" w:rsidP="00D65986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ascii="Calibri" w:eastAsia="Calibri" w:hAnsi="Calibri" w:cs="Times New Roman"/>
                <w:sz w:val="16"/>
                <w:szCs w:val="16"/>
                <w:lang w:val="it-CH"/>
              </w:rPr>
            </w:pPr>
            <w:r w:rsidRPr="00D65986">
              <w:rPr>
                <w:rFonts w:eastAsia="Calibri"/>
                <w:sz w:val="16"/>
                <w:szCs w:val="16"/>
                <w:lang w:val="it-CH"/>
              </w:rPr>
              <w:t>Altri costi d’esercizio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2CE89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110’900</w:t>
            </w:r>
          </w:p>
          <w:p w14:paraId="679A15E4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34’050</w:t>
            </w:r>
          </w:p>
          <w:p w14:paraId="1D46A78B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28’250</w:t>
            </w:r>
          </w:p>
          <w:p w14:paraId="3A963F8F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243’500</w:t>
            </w:r>
          </w:p>
          <w:p w14:paraId="31113667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65’000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0E501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3E6488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65986" w:rsidRPr="00D65986" w14:paraId="5C6A4020" w14:textId="77777777" w:rsidTr="00D65986">
        <w:trPr>
          <w:trHeight w:val="255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4931E9CE" w14:textId="77777777" w:rsidR="00D65986" w:rsidRPr="00D65986" w:rsidRDefault="00D65986" w:rsidP="00D65986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TOTALE COSTI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14:paraId="1AE36C83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4'041’700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14:paraId="21C6ADEA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3'729’529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</w:tcBorders>
            <w:shd w:val="clear" w:color="auto" w:fill="FDE9D9"/>
            <w:noWrap/>
            <w:vAlign w:val="bottom"/>
          </w:tcPr>
          <w:p w14:paraId="5E0AB90E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it-IT"/>
                <w14:ligatures w14:val="none"/>
              </w:rPr>
              <w:t>312’171</w:t>
            </w:r>
          </w:p>
        </w:tc>
      </w:tr>
      <w:tr w:rsidR="00D65986" w:rsidRPr="00D65986" w14:paraId="0A116233" w14:textId="77777777" w:rsidTr="00FC1C79">
        <w:trPr>
          <w:trHeight w:val="255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F6FF" w14:textId="77777777" w:rsidR="00D65986" w:rsidRPr="00D65986" w:rsidRDefault="00D65986" w:rsidP="00D65986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Risultato gestione titoli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279A4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8’900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15CB9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8’900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1EFE5F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it-IT"/>
                <w14:ligatures w14:val="none"/>
              </w:rPr>
              <w:t>-</w:t>
            </w:r>
          </w:p>
        </w:tc>
      </w:tr>
      <w:tr w:rsidR="00D65986" w:rsidRPr="00D65986" w14:paraId="1D94EF1B" w14:textId="77777777" w:rsidTr="00FC1C79">
        <w:trPr>
          <w:trHeight w:val="255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F047" w14:textId="77777777" w:rsidR="00D65986" w:rsidRPr="00D65986" w:rsidRDefault="00D65986" w:rsidP="00D65986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Risultato gestione immobili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EC502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450’000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8C92C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333’500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EA88F6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it-IT"/>
                <w14:ligatures w14:val="none"/>
              </w:rPr>
              <w:t>116’500</w:t>
            </w:r>
          </w:p>
        </w:tc>
      </w:tr>
      <w:tr w:rsidR="00D65986" w:rsidRPr="00D65986" w14:paraId="7BEBFB99" w14:textId="77777777" w:rsidTr="00FC1C79">
        <w:trPr>
          <w:trHeight w:val="255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598F4" w14:textId="77777777" w:rsidR="00D65986" w:rsidRPr="00D65986" w:rsidRDefault="00D65986" w:rsidP="00D65986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ascii="Calibri" w:eastAsia="Calibri" w:hAnsi="Calibri" w:cs="Times New Roman"/>
                <w:sz w:val="16"/>
                <w:szCs w:val="16"/>
                <w:lang w:val="it-CH"/>
              </w:rPr>
            </w:pPr>
            <w:r w:rsidRPr="00D65986">
              <w:rPr>
                <w:rFonts w:eastAsia="Calibri"/>
                <w:sz w:val="16"/>
                <w:szCs w:val="16"/>
                <w:lang w:val="it-CH"/>
              </w:rPr>
              <w:t xml:space="preserve">Ricavi </w:t>
            </w:r>
          </w:p>
          <w:p w14:paraId="6CE9B7AF" w14:textId="77777777" w:rsidR="00D65986" w:rsidRPr="00D65986" w:rsidRDefault="00D65986" w:rsidP="00D65986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ascii="Calibri" w:eastAsia="Calibri" w:hAnsi="Calibri" w:cs="Times New Roman"/>
                <w:sz w:val="20"/>
                <w:szCs w:val="20"/>
                <w:lang w:val="it-CH"/>
              </w:rPr>
            </w:pPr>
            <w:r w:rsidRPr="00D65986">
              <w:rPr>
                <w:rFonts w:eastAsia="Calibri"/>
                <w:sz w:val="16"/>
                <w:szCs w:val="16"/>
                <w:lang w:val="it-CH"/>
              </w:rPr>
              <w:t>Costi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895C1" w14:textId="77777777" w:rsidR="00D65986" w:rsidRPr="0013318F" w:rsidRDefault="00D65986" w:rsidP="00D65986">
            <w:pPr>
              <w:jc w:val="right"/>
              <w:rPr>
                <w:rFonts w:eastAsia="Times New Roman" w:cs="Times New Roman"/>
                <w:color w:val="C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3318F">
              <w:rPr>
                <w:rFonts w:eastAsia="Times New Roman" w:cs="Times New Roman"/>
                <w:color w:val="C00000"/>
                <w:kern w:val="0"/>
                <w:sz w:val="18"/>
                <w:szCs w:val="18"/>
                <w:lang w:eastAsia="it-IT"/>
                <w14:ligatures w14:val="none"/>
              </w:rPr>
              <w:t>-48’000</w:t>
            </w:r>
          </w:p>
          <w:p w14:paraId="5ED5FD94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498’000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E0941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65F16E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65986" w:rsidRPr="00D65986" w14:paraId="25264B07" w14:textId="77777777" w:rsidTr="00FC1C79">
        <w:trPr>
          <w:trHeight w:val="255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1957" w14:textId="77777777" w:rsidR="00D65986" w:rsidRPr="00D65986" w:rsidRDefault="00D65986" w:rsidP="00D65986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Risultato straordinario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8E2B8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6497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-10’000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85D417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it-IT"/>
                <w14:ligatures w14:val="none"/>
              </w:rPr>
              <w:t>10000</w:t>
            </w:r>
          </w:p>
        </w:tc>
      </w:tr>
      <w:tr w:rsidR="00D65986" w:rsidRPr="00D65986" w14:paraId="1524E2C1" w14:textId="77777777" w:rsidTr="00D65986">
        <w:trPr>
          <w:trHeight w:val="255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491908C2" w14:textId="77777777" w:rsidR="00D65986" w:rsidRPr="00D65986" w:rsidRDefault="00D65986" w:rsidP="00D65986">
            <w:pPr>
              <w:jc w:val="lef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RISULTATO D’ESERCIZIO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14:paraId="6071E3AD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2'030’800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14:paraId="0C383E97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1'696’079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</w:tcBorders>
            <w:shd w:val="clear" w:color="auto" w:fill="FDE9D9"/>
            <w:noWrap/>
            <w:vAlign w:val="bottom"/>
          </w:tcPr>
          <w:p w14:paraId="64C5D90E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it-IT"/>
                <w14:ligatures w14:val="none"/>
              </w:rPr>
              <w:t>334’721</w:t>
            </w:r>
          </w:p>
        </w:tc>
      </w:tr>
      <w:tr w:rsidR="00D65986" w:rsidRPr="00D65986" w14:paraId="4252A7FF" w14:textId="77777777" w:rsidTr="00FC1C79">
        <w:trPr>
          <w:trHeight w:val="255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B279" w14:textId="77777777" w:rsidR="00D65986" w:rsidRPr="00D65986" w:rsidRDefault="00D65986" w:rsidP="00D65986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Ricavi Casa Tarcisio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A93D1" w14:textId="77777777" w:rsidR="00D65986" w:rsidRPr="0013318F" w:rsidRDefault="00D65986" w:rsidP="00D65986">
            <w:pPr>
              <w:jc w:val="right"/>
              <w:rPr>
                <w:rFonts w:eastAsia="Times New Roman" w:cs="Times New Roman"/>
                <w:color w:val="C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3318F">
              <w:rPr>
                <w:rFonts w:eastAsia="Times New Roman" w:cs="Times New Roman"/>
                <w:color w:val="C00000"/>
                <w:kern w:val="0"/>
                <w:sz w:val="20"/>
                <w:szCs w:val="20"/>
                <w:lang w:eastAsia="it-IT"/>
                <w14:ligatures w14:val="none"/>
              </w:rPr>
              <w:t>-4'598’774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573D1" w14:textId="77777777" w:rsidR="00D65986" w:rsidRPr="0013318F" w:rsidRDefault="00D65986" w:rsidP="00D65986">
            <w:pPr>
              <w:jc w:val="right"/>
              <w:rPr>
                <w:rFonts w:eastAsia="Times New Roman" w:cs="Times New Roman"/>
                <w:color w:val="C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3318F">
              <w:rPr>
                <w:rFonts w:eastAsia="Times New Roman" w:cs="Times New Roman"/>
                <w:color w:val="C00000"/>
                <w:kern w:val="0"/>
                <w:sz w:val="20"/>
                <w:szCs w:val="20"/>
                <w:lang w:eastAsia="it-IT"/>
                <w14:ligatures w14:val="none"/>
              </w:rPr>
              <w:t>-4'579’426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D9104A" w14:textId="77777777" w:rsidR="00D65986" w:rsidRPr="0013318F" w:rsidRDefault="00D65986" w:rsidP="00D65986">
            <w:pPr>
              <w:jc w:val="right"/>
              <w:rPr>
                <w:rFonts w:eastAsia="Times New Roman" w:cs="Times New Roman"/>
                <w:i/>
                <w:iCs/>
                <w:color w:val="C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3318F">
              <w:rPr>
                <w:rFonts w:eastAsia="Times New Roman" w:cs="Times New Roman"/>
                <w:i/>
                <w:iCs/>
                <w:color w:val="C00000"/>
                <w:kern w:val="0"/>
                <w:sz w:val="20"/>
                <w:szCs w:val="20"/>
                <w:lang w:eastAsia="it-IT"/>
                <w14:ligatures w14:val="none"/>
              </w:rPr>
              <w:t>-19’348</w:t>
            </w:r>
          </w:p>
        </w:tc>
      </w:tr>
      <w:tr w:rsidR="00D65986" w:rsidRPr="00D65986" w14:paraId="78667246" w14:textId="77777777" w:rsidTr="00FC1C79">
        <w:trPr>
          <w:trHeight w:val="255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3B58E" w14:textId="77777777" w:rsidR="00D65986" w:rsidRPr="00D65986" w:rsidRDefault="00D65986" w:rsidP="00D65986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ascii="Calibri" w:eastAsia="Calibri" w:hAnsi="Calibri" w:cs="Times New Roman"/>
                <w:sz w:val="20"/>
                <w:szCs w:val="20"/>
                <w:lang w:val="it-CH"/>
              </w:rPr>
            </w:pPr>
            <w:r w:rsidRPr="00D65986">
              <w:rPr>
                <w:rFonts w:eastAsia="Calibri"/>
                <w:sz w:val="16"/>
                <w:szCs w:val="16"/>
                <w:lang w:val="it-CH"/>
              </w:rPr>
              <w:t xml:space="preserve">Prestazioni fornite ai residenti </w:t>
            </w:r>
          </w:p>
          <w:p w14:paraId="4158F336" w14:textId="77777777" w:rsidR="00D65986" w:rsidRPr="00D65986" w:rsidRDefault="00D65986" w:rsidP="00D65986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ascii="Calibri" w:eastAsia="Calibri" w:hAnsi="Calibri" w:cs="Times New Roman"/>
                <w:sz w:val="20"/>
                <w:szCs w:val="20"/>
                <w:lang w:val="it-CH"/>
              </w:rPr>
            </w:pPr>
            <w:r w:rsidRPr="00D65986">
              <w:rPr>
                <w:rFonts w:eastAsia="Calibri"/>
                <w:sz w:val="16"/>
                <w:szCs w:val="16"/>
                <w:lang w:val="it-CH"/>
              </w:rPr>
              <w:t>Contributi e sussidi</w:t>
            </w:r>
          </w:p>
          <w:p w14:paraId="0C772461" w14:textId="77777777" w:rsidR="00D65986" w:rsidRPr="00D65986" w:rsidRDefault="00D65986" w:rsidP="00D65986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it-CH"/>
              </w:rPr>
            </w:pPr>
            <w:r w:rsidRPr="00D65986">
              <w:rPr>
                <w:rFonts w:eastAsia="Calibri"/>
                <w:sz w:val="16"/>
                <w:szCs w:val="16"/>
                <w:lang w:val="it-CH"/>
              </w:rPr>
              <w:t>Altri ricavi d’esercizio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B54D6" w14:textId="77777777" w:rsidR="00D65986" w:rsidRPr="0013318F" w:rsidRDefault="00D65986" w:rsidP="00D65986">
            <w:pPr>
              <w:jc w:val="right"/>
              <w:rPr>
                <w:rFonts w:eastAsia="Times New Roman" w:cs="Times New Roman"/>
                <w:color w:val="C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3318F">
              <w:rPr>
                <w:rFonts w:eastAsia="Times New Roman" w:cs="Times New Roman"/>
                <w:color w:val="C00000"/>
                <w:kern w:val="0"/>
                <w:sz w:val="18"/>
                <w:szCs w:val="18"/>
                <w:lang w:eastAsia="it-IT"/>
                <w14:ligatures w14:val="none"/>
              </w:rPr>
              <w:t>-2'642’774</w:t>
            </w:r>
          </w:p>
          <w:p w14:paraId="1AB2670B" w14:textId="77777777" w:rsidR="00D65986" w:rsidRPr="0013318F" w:rsidRDefault="00D65986" w:rsidP="00D65986">
            <w:pPr>
              <w:jc w:val="right"/>
              <w:rPr>
                <w:rFonts w:eastAsia="Times New Roman" w:cs="Times New Roman"/>
                <w:color w:val="C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3318F">
              <w:rPr>
                <w:rFonts w:eastAsia="Times New Roman" w:cs="Times New Roman"/>
                <w:color w:val="C00000"/>
                <w:kern w:val="0"/>
                <w:sz w:val="18"/>
                <w:szCs w:val="18"/>
                <w:lang w:eastAsia="it-IT"/>
                <w14:ligatures w14:val="none"/>
              </w:rPr>
              <w:t>-1'910’000</w:t>
            </w:r>
          </w:p>
          <w:p w14:paraId="4927C78B" w14:textId="77777777" w:rsidR="00D65986" w:rsidRPr="0013318F" w:rsidRDefault="00D65986" w:rsidP="00D65986">
            <w:pPr>
              <w:jc w:val="right"/>
              <w:rPr>
                <w:rFonts w:eastAsia="Times New Roman" w:cs="Times New Roman"/>
                <w:color w:val="C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3318F">
              <w:rPr>
                <w:rFonts w:eastAsia="Times New Roman" w:cs="Times New Roman"/>
                <w:color w:val="C00000"/>
                <w:kern w:val="0"/>
                <w:sz w:val="18"/>
                <w:szCs w:val="18"/>
                <w:lang w:eastAsia="it-IT"/>
                <w14:ligatures w14:val="none"/>
              </w:rPr>
              <w:t>-46’000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F0254" w14:textId="77777777" w:rsidR="00D65986" w:rsidRPr="0013318F" w:rsidRDefault="00D65986" w:rsidP="00D65986">
            <w:pPr>
              <w:jc w:val="right"/>
              <w:rPr>
                <w:rFonts w:eastAsia="Times New Roman" w:cs="Times New Roman"/>
                <w:color w:val="C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A91A65" w14:textId="77777777" w:rsidR="00D65986" w:rsidRPr="0013318F" w:rsidRDefault="00D65986" w:rsidP="00D65986">
            <w:pPr>
              <w:jc w:val="right"/>
              <w:rPr>
                <w:rFonts w:eastAsia="Times New Roman" w:cs="Times New Roman"/>
                <w:i/>
                <w:iCs/>
                <w:color w:val="C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65986" w:rsidRPr="00D65986" w14:paraId="59C53A3B" w14:textId="77777777" w:rsidTr="00FC1C79">
        <w:trPr>
          <w:trHeight w:val="255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E29D" w14:textId="77777777" w:rsidR="00D65986" w:rsidRPr="00D65986" w:rsidRDefault="00D65986" w:rsidP="00D65986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Costi Casa Tarcisio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46C31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4'675’455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74E65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4'636’610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D7542E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it-IT"/>
                <w14:ligatures w14:val="none"/>
              </w:rPr>
              <w:t>38’845</w:t>
            </w:r>
          </w:p>
        </w:tc>
      </w:tr>
      <w:tr w:rsidR="00D65986" w:rsidRPr="00D65986" w14:paraId="2647B276" w14:textId="77777777" w:rsidTr="00FC1C79">
        <w:trPr>
          <w:trHeight w:val="255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7DB3F" w14:textId="77777777" w:rsidR="00D65986" w:rsidRPr="00D65986" w:rsidRDefault="00D65986" w:rsidP="00D65986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ascii="Calibri" w:eastAsia="Calibri" w:hAnsi="Calibri" w:cs="Times New Roman"/>
                <w:sz w:val="20"/>
                <w:szCs w:val="20"/>
                <w:lang w:val="it-CH"/>
              </w:rPr>
            </w:pPr>
            <w:r w:rsidRPr="00D65986">
              <w:rPr>
                <w:rFonts w:eastAsia="Calibri"/>
                <w:sz w:val="16"/>
                <w:szCs w:val="16"/>
                <w:lang w:val="it-CH"/>
              </w:rPr>
              <w:t>Salari e assicurazioni sociali</w:t>
            </w:r>
          </w:p>
          <w:p w14:paraId="0B82FCB9" w14:textId="77777777" w:rsidR="00D65986" w:rsidRPr="00D65986" w:rsidRDefault="00D65986" w:rsidP="00D65986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it-CH"/>
              </w:rPr>
            </w:pPr>
            <w:r w:rsidRPr="00D65986">
              <w:rPr>
                <w:rFonts w:eastAsia="Calibri"/>
                <w:sz w:val="16"/>
                <w:szCs w:val="16"/>
                <w:lang w:val="it-CH"/>
              </w:rPr>
              <w:t>Altri costi del personale e prestazioni di terzi</w:t>
            </w:r>
          </w:p>
          <w:p w14:paraId="3B25E9D9" w14:textId="77777777" w:rsidR="00D65986" w:rsidRPr="00D65986" w:rsidRDefault="00D65986" w:rsidP="00D65986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it-CH"/>
              </w:rPr>
            </w:pPr>
            <w:r w:rsidRPr="00D65986">
              <w:rPr>
                <w:rFonts w:eastAsia="Calibri"/>
                <w:sz w:val="16"/>
                <w:szCs w:val="16"/>
                <w:lang w:val="it-CH"/>
              </w:rPr>
              <w:t>Fabbisogno medico</w:t>
            </w:r>
          </w:p>
          <w:p w14:paraId="3888FCDA" w14:textId="77777777" w:rsidR="00D65986" w:rsidRPr="00D65986" w:rsidRDefault="00D65986" w:rsidP="00D65986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it-CH"/>
              </w:rPr>
            </w:pPr>
            <w:r w:rsidRPr="00D65986">
              <w:rPr>
                <w:rFonts w:eastAsia="Calibri"/>
                <w:sz w:val="16"/>
                <w:szCs w:val="16"/>
                <w:lang w:val="it-CH"/>
              </w:rPr>
              <w:t>Alimentari e bibite</w:t>
            </w:r>
          </w:p>
          <w:p w14:paraId="7A591AEC" w14:textId="77777777" w:rsidR="00D65986" w:rsidRPr="00D65986" w:rsidRDefault="00D65986" w:rsidP="00D65986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it-CH"/>
              </w:rPr>
            </w:pPr>
            <w:r w:rsidRPr="00D65986">
              <w:rPr>
                <w:rFonts w:eastAsia="Calibri"/>
                <w:sz w:val="16"/>
                <w:szCs w:val="16"/>
                <w:lang w:val="it-CH"/>
              </w:rPr>
              <w:t>Economia domestica</w:t>
            </w:r>
          </w:p>
          <w:p w14:paraId="476AC6DF" w14:textId="77777777" w:rsidR="00D65986" w:rsidRPr="00D65986" w:rsidRDefault="00D65986" w:rsidP="00D65986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it-CH"/>
              </w:rPr>
            </w:pPr>
            <w:r w:rsidRPr="00D65986">
              <w:rPr>
                <w:rFonts w:eastAsia="Calibri"/>
                <w:sz w:val="16"/>
                <w:szCs w:val="16"/>
                <w:lang w:val="it-CH"/>
              </w:rPr>
              <w:t>Manutenzione, riparazione, abbonamenti e acquisti</w:t>
            </w:r>
          </w:p>
          <w:p w14:paraId="665C2B81" w14:textId="77777777" w:rsidR="00D65986" w:rsidRPr="00D65986" w:rsidRDefault="00D65986" w:rsidP="00D65986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it-CH"/>
              </w:rPr>
            </w:pPr>
            <w:r w:rsidRPr="00D65986">
              <w:rPr>
                <w:rFonts w:eastAsia="Calibri"/>
                <w:sz w:val="16"/>
                <w:szCs w:val="16"/>
                <w:lang w:val="it-CH"/>
              </w:rPr>
              <w:t>Energia e acqua</w:t>
            </w:r>
          </w:p>
          <w:p w14:paraId="78FDF38A" w14:textId="77777777" w:rsidR="00D65986" w:rsidRPr="00D65986" w:rsidRDefault="00D65986" w:rsidP="00D65986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it-CH"/>
              </w:rPr>
            </w:pPr>
            <w:r w:rsidRPr="00D65986">
              <w:rPr>
                <w:rFonts w:eastAsia="Calibri"/>
                <w:sz w:val="16"/>
                <w:szCs w:val="16"/>
                <w:lang w:val="it-CH"/>
              </w:rPr>
              <w:t>Amministrativi, informatica e oneri finanziari</w:t>
            </w:r>
          </w:p>
          <w:p w14:paraId="4174E2C1" w14:textId="77777777" w:rsidR="00D65986" w:rsidRPr="00D65986" w:rsidRDefault="00D65986" w:rsidP="00D65986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left"/>
              <w:rPr>
                <w:rFonts w:eastAsia="Calibri"/>
                <w:sz w:val="20"/>
                <w:szCs w:val="20"/>
                <w:lang w:val="it-CH"/>
              </w:rPr>
            </w:pPr>
            <w:r w:rsidRPr="00D65986">
              <w:rPr>
                <w:rFonts w:eastAsia="Calibri"/>
                <w:sz w:val="16"/>
                <w:szCs w:val="16"/>
                <w:lang w:val="it-CH"/>
              </w:rPr>
              <w:t>Altri costi d’esercizio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BD610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bookmarkStart w:id="0" w:name="OLE_LINK1"/>
            <w:r w:rsidRPr="00D65986">
              <w:rPr>
                <w:rFonts w:eastAsia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3'783’640</w:t>
            </w:r>
          </w:p>
          <w:p w14:paraId="78BFF661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85’200</w:t>
            </w:r>
          </w:p>
          <w:p w14:paraId="775BEDE2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82’000</w:t>
            </w:r>
          </w:p>
          <w:p w14:paraId="1CC1E0AE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188’000</w:t>
            </w:r>
          </w:p>
          <w:p w14:paraId="54D52423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39’000</w:t>
            </w:r>
          </w:p>
          <w:p w14:paraId="0FD84402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243’850</w:t>
            </w:r>
          </w:p>
          <w:p w14:paraId="76B5CCC7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162’000</w:t>
            </w:r>
          </w:p>
          <w:p w14:paraId="377DD625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45’000</w:t>
            </w:r>
          </w:p>
          <w:p w14:paraId="718D19D6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46’765</w:t>
            </w:r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5231F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C14A2F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D65986" w:rsidRPr="00D65986" w14:paraId="6BE19A2D" w14:textId="77777777" w:rsidTr="00FC1C79">
        <w:trPr>
          <w:trHeight w:val="255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613FD" w14:textId="77777777" w:rsidR="00D65986" w:rsidRPr="00D65986" w:rsidRDefault="00D65986" w:rsidP="00D65986">
            <w:pPr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Risultato Casa Tarcisio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99073" w14:textId="77777777" w:rsidR="00D65986" w:rsidRPr="0013318F" w:rsidRDefault="00D65986" w:rsidP="00D65986">
            <w:pPr>
              <w:jc w:val="right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3318F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it-IT"/>
                <w14:ligatures w14:val="none"/>
              </w:rPr>
              <w:t>76’681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766D2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57’184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B02E00" w14:textId="77777777" w:rsidR="00D65986" w:rsidRPr="0013318F" w:rsidRDefault="00D65986" w:rsidP="00D65986">
            <w:pPr>
              <w:jc w:val="right"/>
              <w:rPr>
                <w:rFonts w:eastAsia="Times New Roman" w:cs="Times New Roman"/>
                <w:i/>
                <w:iCs/>
                <w:color w:val="000000" w:themeColor="text1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3318F">
              <w:rPr>
                <w:rFonts w:eastAsia="Times New Roman" w:cs="Times New Roman"/>
                <w:i/>
                <w:iCs/>
                <w:color w:val="000000" w:themeColor="text1"/>
                <w:kern w:val="0"/>
                <w:sz w:val="20"/>
                <w:szCs w:val="20"/>
                <w:lang w:eastAsia="it-IT"/>
                <w14:ligatures w14:val="none"/>
              </w:rPr>
              <w:t>19’497</w:t>
            </w:r>
          </w:p>
        </w:tc>
      </w:tr>
      <w:tr w:rsidR="00D65986" w:rsidRPr="00D65986" w14:paraId="4EFF3BB5" w14:textId="77777777" w:rsidTr="00D65986">
        <w:trPr>
          <w:trHeight w:val="255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48E4AB01" w14:textId="77777777" w:rsidR="00D65986" w:rsidRPr="00D65986" w:rsidRDefault="00D65986" w:rsidP="00D65986">
            <w:pPr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RISULTATO COMPLESSIVO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bottom"/>
          </w:tcPr>
          <w:p w14:paraId="07812C8B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it-IT"/>
                <w14:ligatures w14:val="none"/>
              </w:rPr>
              <w:t>2'107’500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bottom"/>
          </w:tcPr>
          <w:p w14:paraId="0196888C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it-IT"/>
                <w14:ligatures w14:val="none"/>
              </w:rPr>
              <w:t>1'753’263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  <w:shd w:val="clear" w:color="auto" w:fill="FDE9D9"/>
            <w:noWrap/>
            <w:vAlign w:val="bottom"/>
          </w:tcPr>
          <w:p w14:paraId="0701113E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65986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354’237</w:t>
            </w:r>
          </w:p>
        </w:tc>
      </w:tr>
      <w:tr w:rsidR="00D65986" w:rsidRPr="00D65986" w14:paraId="69565762" w14:textId="77777777" w:rsidTr="00D65986">
        <w:trPr>
          <w:trHeight w:val="255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14:paraId="30A27F56" w14:textId="77777777" w:rsidR="00D65986" w:rsidRPr="00D65986" w:rsidRDefault="00D65986" w:rsidP="00D65986">
            <w:pPr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14:paraId="64FBC9AD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14:paraId="2A74DDF9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</w:tcBorders>
            <w:shd w:val="clear" w:color="auto" w:fill="FDE9D9"/>
            <w:noWrap/>
            <w:vAlign w:val="bottom"/>
          </w:tcPr>
          <w:p w14:paraId="6074510D" w14:textId="77777777" w:rsidR="00D65986" w:rsidRPr="00D65986" w:rsidRDefault="00D65986" w:rsidP="00D65986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1461C864" w14:textId="7CCA89F9" w:rsidR="00A97719" w:rsidRDefault="00A97719" w:rsidP="00A97719">
      <w:r>
        <w:br w:type="page"/>
      </w:r>
    </w:p>
    <w:p w14:paraId="09330760" w14:textId="107BF99E" w:rsidR="00A97719" w:rsidRPr="00A97719" w:rsidRDefault="00A97719" w:rsidP="00DD3B3C">
      <w:pPr>
        <w:pStyle w:val="Titolo2"/>
      </w:pPr>
      <w:r w:rsidRPr="00A97719">
        <w:lastRenderedPageBreak/>
        <w:t>Analisi</w:t>
      </w:r>
    </w:p>
    <w:p w14:paraId="056E2174" w14:textId="011C0BB3" w:rsidR="00A97719" w:rsidRPr="00A97719" w:rsidRDefault="00A97719" w:rsidP="00A97719">
      <w:r w:rsidRPr="00A97719">
        <w:t xml:space="preserve">Il preventivo 2024 vede una perdita complessiva di 2'107’500 fr. che è di circa 354’000 fr. superiore alla stima di chiusura del 2023 e di circa 303'000 fr. superiore rispetto al preventivo 2023. </w:t>
      </w:r>
    </w:p>
    <w:p w14:paraId="1DCE4005" w14:textId="2BF97745" w:rsidR="00A97719" w:rsidRPr="00A97719" w:rsidRDefault="00A97719" w:rsidP="00A97719">
      <w:pPr>
        <w:spacing w:before="120" w:after="240"/>
      </w:pPr>
      <w:r w:rsidRPr="00A97719">
        <w:t>Confrontando il preventivo 2024 con la stima di chiusura 2023 emergono le seguenti considerazioni principali:</w:t>
      </w:r>
    </w:p>
    <w:p w14:paraId="5CEEF6E1" w14:textId="546FDED6" w:rsidR="00A97719" w:rsidRPr="00A97719" w:rsidRDefault="00A97719" w:rsidP="00D65986">
      <w:pPr>
        <w:numPr>
          <w:ilvl w:val="0"/>
          <w:numId w:val="3"/>
        </w:numPr>
        <w:spacing w:before="120" w:after="160"/>
        <w:ind w:left="714" w:hanging="357"/>
        <w:rPr>
          <w:lang w:val="it-CH"/>
        </w:rPr>
      </w:pPr>
      <w:r w:rsidRPr="00A97719">
        <w:rPr>
          <w:lang w:val="it-CH"/>
        </w:rPr>
        <w:t xml:space="preserve">I ricavi da prestazioni sono previsti in aumento di circa 78'000 fr. a causa dell’aumento di attività di Casa Andreina (ore di attività ordinaria, moscacieca ed eventi terzi, ecc.) e per le maggiori prestazioni fornite dai vari servizi. </w:t>
      </w:r>
    </w:p>
    <w:p w14:paraId="530184BA" w14:textId="0E5B7EC1" w:rsidR="00A97719" w:rsidRPr="00A97719" w:rsidRDefault="00A97719" w:rsidP="00D65986">
      <w:pPr>
        <w:numPr>
          <w:ilvl w:val="0"/>
          <w:numId w:val="3"/>
        </w:numPr>
        <w:spacing w:before="120" w:after="160"/>
        <w:ind w:left="714" w:hanging="357"/>
        <w:rPr>
          <w:lang w:val="it-CH"/>
        </w:rPr>
      </w:pPr>
      <w:r w:rsidRPr="00A97719">
        <w:rPr>
          <w:lang w:val="it-CH"/>
        </w:rPr>
        <w:t xml:space="preserve">I costi di funzionamento aumentano di circa 30’000 fr. in parte in funzione dell’aumento dell’attività preventivata. </w:t>
      </w:r>
    </w:p>
    <w:p w14:paraId="7C4DC47C" w14:textId="77777777" w:rsidR="00A97719" w:rsidRPr="00A97719" w:rsidRDefault="00A97719" w:rsidP="00A97719">
      <w:pPr>
        <w:numPr>
          <w:ilvl w:val="0"/>
          <w:numId w:val="3"/>
        </w:numPr>
        <w:spacing w:after="120"/>
        <w:ind w:left="714" w:hanging="357"/>
        <w:rPr>
          <w:lang w:val="it-CH"/>
        </w:rPr>
      </w:pPr>
      <w:r w:rsidRPr="00A97719">
        <w:rPr>
          <w:lang w:val="it-CH"/>
        </w:rPr>
        <w:t>I costi del personale vedono invece un aumento di circa 280'000 fr, dovuti principalmente a:</w:t>
      </w:r>
    </w:p>
    <w:p w14:paraId="4E77BEFC" w14:textId="77777777" w:rsidR="00A97719" w:rsidRPr="00A97719" w:rsidRDefault="00A97719" w:rsidP="00A97719">
      <w:pPr>
        <w:numPr>
          <w:ilvl w:val="1"/>
          <w:numId w:val="3"/>
        </w:numPr>
        <w:rPr>
          <w:lang w:val="it-CH"/>
        </w:rPr>
      </w:pPr>
      <w:r w:rsidRPr="00A97719">
        <w:rPr>
          <w:lang w:val="it-CH"/>
        </w:rPr>
        <w:t xml:space="preserve">Aumento costo salari di circa 180'000 fr. dovuti ad alcune misure previste nell’ambito delle Risorse Umane. </w:t>
      </w:r>
    </w:p>
    <w:p w14:paraId="62E69FA3" w14:textId="77777777" w:rsidR="00A97719" w:rsidRPr="00A97719" w:rsidRDefault="00A97719" w:rsidP="00A97719">
      <w:pPr>
        <w:numPr>
          <w:ilvl w:val="1"/>
          <w:numId w:val="3"/>
        </w:numPr>
        <w:rPr>
          <w:lang w:val="it-CH"/>
        </w:rPr>
      </w:pPr>
      <w:r w:rsidRPr="00A97719">
        <w:rPr>
          <w:lang w:val="it-CH"/>
        </w:rPr>
        <w:t>Aumento degli oneri sociali di circa 50'000 fr., anche in questo caso a seguito dell’aumento dei costi salariali.</w:t>
      </w:r>
    </w:p>
    <w:p w14:paraId="0FA73E13" w14:textId="0C177E2C" w:rsidR="00A97719" w:rsidRPr="00A97719" w:rsidRDefault="00A97719" w:rsidP="00A97719">
      <w:pPr>
        <w:numPr>
          <w:ilvl w:val="1"/>
          <w:numId w:val="3"/>
        </w:numPr>
        <w:rPr>
          <w:lang w:val="it-CH"/>
        </w:rPr>
      </w:pPr>
      <w:r w:rsidRPr="00A97719">
        <w:rPr>
          <w:lang w:val="it-CH"/>
        </w:rPr>
        <w:t xml:space="preserve">I costi di formazione aumentano di circa 16'000 fr. </w:t>
      </w:r>
    </w:p>
    <w:p w14:paraId="44D27713" w14:textId="5375D9AC" w:rsidR="00A97719" w:rsidRPr="00A97719" w:rsidRDefault="00A97719" w:rsidP="00D65986">
      <w:pPr>
        <w:numPr>
          <w:ilvl w:val="0"/>
          <w:numId w:val="3"/>
        </w:numPr>
        <w:spacing w:before="160" w:after="160"/>
        <w:ind w:left="714" w:hanging="357"/>
        <w:rPr>
          <w:lang w:val="it-CH"/>
        </w:rPr>
      </w:pPr>
      <w:r w:rsidRPr="00A97719">
        <w:rPr>
          <w:lang w:val="it-CH"/>
        </w:rPr>
        <w:t xml:space="preserve">Come anticipato nelle premesse, nella gestione dei titoli viene indicato solo il risultato di spese ed entrate già conosciute, mentre non viene effettuata una stima sulle performance. </w:t>
      </w:r>
    </w:p>
    <w:p w14:paraId="592EDA55" w14:textId="77777777" w:rsidR="00A97719" w:rsidRPr="00A97719" w:rsidRDefault="00A97719" w:rsidP="00D65986">
      <w:pPr>
        <w:numPr>
          <w:ilvl w:val="0"/>
          <w:numId w:val="3"/>
        </w:numPr>
        <w:spacing w:before="160" w:after="160"/>
        <w:ind w:left="714" w:hanging="357"/>
        <w:rPr>
          <w:lang w:val="it-CH"/>
        </w:rPr>
      </w:pPr>
      <w:r w:rsidRPr="00A97719">
        <w:rPr>
          <w:lang w:val="it-CH"/>
        </w:rPr>
        <w:t xml:space="preserve">Il risultato della gestione degli immobili vede invece un peggioramento a seguito dei lavori iniziati nel 2022 a Casa Andreina. Il totale del costo dei lavori stimato per il 2024 è di circa 490’000 fr. suddivisi tra Fase A (urgenti e prioritari) e Fase B (secondari). I lavori sono suddivisi, inoltre, in tre categorie: interventi di riparazione e sostituzione, interventi di adeguamento alla direttiva antincendio e interventi di miglioria. </w:t>
      </w:r>
    </w:p>
    <w:p w14:paraId="757AE530" w14:textId="77777777" w:rsidR="00A97719" w:rsidRPr="00A97719" w:rsidRDefault="00A97719" w:rsidP="00A97719"/>
    <w:p w14:paraId="43392BCB" w14:textId="6F917431" w:rsidR="00A97719" w:rsidRPr="00A97719" w:rsidRDefault="00A97719" w:rsidP="00DD3B3C">
      <w:pPr>
        <w:pStyle w:val="Titolo2"/>
        <w:rPr>
          <w:lang w:val="it-CH"/>
        </w:rPr>
      </w:pPr>
      <w:r w:rsidRPr="00A97719">
        <w:rPr>
          <w:lang w:val="it-CH"/>
        </w:rPr>
        <w:t>Conclusioni</w:t>
      </w:r>
    </w:p>
    <w:p w14:paraId="0351F440" w14:textId="77777777" w:rsidR="00A97719" w:rsidRPr="00A97719" w:rsidRDefault="00A97719" w:rsidP="00A97719">
      <w:pPr>
        <w:rPr>
          <w:lang w:val="it-CH"/>
        </w:rPr>
      </w:pPr>
      <w:r w:rsidRPr="00A97719">
        <w:rPr>
          <w:lang w:val="it-CH"/>
        </w:rPr>
        <w:t xml:space="preserve">Il preventivo 2024 vede un peggioramento del risultato rispetto alla stima di chiusura del 2023 di circa 354'000 fr. dovuto principalmente agli adeguamenti fatti a livello di personale e parzialmente ai lavori previsti a Casa Andreina. L’aumento previsto dei ricavi, posto come obiettivo della Direzione per il 2024, migliora in parte il risultato preventivato, attenuando l’effetto dell’aumento dei costi previsto. </w:t>
      </w:r>
    </w:p>
    <w:p w14:paraId="7CD586A6" w14:textId="77777777" w:rsidR="00A97719" w:rsidRPr="00A97719" w:rsidRDefault="00A97719" w:rsidP="00A97719">
      <w:pPr>
        <w:rPr>
          <w:lang w:val="it-CH"/>
        </w:rPr>
      </w:pPr>
    </w:p>
    <w:sectPr w:rsidR="00A97719" w:rsidRPr="00A97719" w:rsidSect="00691151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317E" w14:textId="77777777" w:rsidR="00691151" w:rsidRDefault="00691151" w:rsidP="00A97719">
      <w:r>
        <w:separator/>
      </w:r>
    </w:p>
  </w:endnote>
  <w:endnote w:type="continuationSeparator" w:id="0">
    <w:p w14:paraId="719285AD" w14:textId="77777777" w:rsidR="00691151" w:rsidRDefault="00691151" w:rsidP="00A9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01EF" w14:textId="01F25C07" w:rsidR="00DD3B3C" w:rsidRPr="00FC621A" w:rsidRDefault="00DD3B3C">
    <w:pPr>
      <w:pStyle w:val="Pidipagina"/>
      <w:rPr>
        <w:sz w:val="22"/>
        <w:szCs w:val="22"/>
      </w:rPr>
    </w:pPr>
    <w:r w:rsidRPr="00FC621A">
      <w:rPr>
        <w:sz w:val="22"/>
        <w:szCs w:val="22"/>
      </w:rPr>
      <w:ptab w:relativeTo="margin" w:alignment="right" w:leader="none"/>
    </w:r>
    <w:r w:rsidRPr="00FC621A">
      <w:rPr>
        <w:sz w:val="22"/>
        <w:szCs w:val="22"/>
      </w:rPr>
      <w:t xml:space="preserve">Tenero, </w:t>
    </w:r>
    <w:r w:rsidRPr="00FC621A">
      <w:rPr>
        <w:sz w:val="22"/>
        <w:szCs w:val="22"/>
        <w:lang w:val="it-CH"/>
      </w:rPr>
      <w:t>31.12.2023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7065" w14:textId="6D523457" w:rsidR="00D65986" w:rsidRPr="00FC621A" w:rsidRDefault="00D65986">
    <w:pPr>
      <w:pStyle w:val="Pidipagina"/>
      <w:rPr>
        <w:sz w:val="22"/>
        <w:szCs w:val="22"/>
      </w:rPr>
    </w:pPr>
    <w:r w:rsidRPr="00FC621A">
      <w:rPr>
        <w:sz w:val="22"/>
        <w:szCs w:val="22"/>
      </w:rPr>
      <w:ptab w:relativeTo="margin" w:alignment="right" w:leader="none"/>
    </w:r>
    <w:r w:rsidRPr="00FC621A">
      <w:rPr>
        <w:sz w:val="22"/>
        <w:szCs w:val="22"/>
      </w:rPr>
      <w:t xml:space="preserve">Tenero, </w:t>
    </w:r>
    <w:r w:rsidRPr="00FC621A">
      <w:rPr>
        <w:sz w:val="22"/>
        <w:szCs w:val="22"/>
        <w:lang w:val="it-CH"/>
      </w:rPr>
      <w:t>31.12.2023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23155" w14:textId="77777777" w:rsidR="00691151" w:rsidRDefault="00691151" w:rsidP="00A97719">
      <w:r>
        <w:separator/>
      </w:r>
    </w:p>
  </w:footnote>
  <w:footnote w:type="continuationSeparator" w:id="0">
    <w:p w14:paraId="52249ACC" w14:textId="77777777" w:rsidR="00691151" w:rsidRDefault="00691151" w:rsidP="00A97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0F86" w14:textId="7AF3B037" w:rsidR="00A97719" w:rsidRDefault="00FC621A" w:rsidP="00A97719">
    <w:pPr>
      <w:pStyle w:val="Intestazione"/>
      <w:tabs>
        <w:tab w:val="clear" w:pos="4819"/>
        <w:tab w:val="clear" w:pos="9638"/>
        <w:tab w:val="left" w:pos="350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1BC1EBF" wp14:editId="34BDF80D">
          <wp:simplePos x="0" y="0"/>
          <wp:positionH relativeFrom="column">
            <wp:posOffset>-727364</wp:posOffset>
          </wp:positionH>
          <wp:positionV relativeFrom="paragraph">
            <wp:posOffset>-457835</wp:posOffset>
          </wp:positionV>
          <wp:extent cx="7583214" cy="1083429"/>
          <wp:effectExtent l="0" t="0" r="0" b="0"/>
          <wp:wrapNone/>
          <wp:docPr id="90245225" name="Immagine 4" descr="Intestazione gialla con il logo Unitas a sinistra e la scritta &quot;associazione ciechi e ipovedenti della Svizzera Italiana a des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245225" name="Immagine 4" descr="Intestazione gialla con il logo Unitas a sinistra e la scritta &quot;associazione ciechi e ipovedenti della Svizzera Italiana a destr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214" cy="1083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71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1626"/>
    <w:multiLevelType w:val="hybridMultilevel"/>
    <w:tmpl w:val="FE9C54A8"/>
    <w:lvl w:ilvl="0" w:tplc="9D0C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37D6"/>
    <w:multiLevelType w:val="hybridMultilevel"/>
    <w:tmpl w:val="4B929E0C"/>
    <w:lvl w:ilvl="0" w:tplc="08100019">
      <w:start w:val="1"/>
      <w:numFmt w:val="lowerLetter"/>
      <w:lvlText w:val="%1."/>
      <w:lvlJc w:val="left"/>
      <w:pPr>
        <w:ind w:left="720" w:hanging="360"/>
      </w:pPr>
    </w:lvl>
    <w:lvl w:ilvl="1" w:tplc="0810001B">
      <w:start w:val="1"/>
      <w:numFmt w:val="lowerRoman"/>
      <w:lvlText w:val="%2."/>
      <w:lvlJc w:val="righ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64703"/>
    <w:multiLevelType w:val="hybridMultilevel"/>
    <w:tmpl w:val="E2043CB6"/>
    <w:lvl w:ilvl="0" w:tplc="8588346E">
      <w:start w:val="1"/>
      <w:numFmt w:val="decimal"/>
      <w:pStyle w:val="Titolo2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28"/>
      </w:rPr>
    </w:lvl>
    <w:lvl w:ilvl="1" w:tplc="2718441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8"/>
        <w:szCs w:val="28"/>
      </w:rPr>
    </w:lvl>
    <w:lvl w:ilvl="2" w:tplc="0810001B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4754FA"/>
    <w:multiLevelType w:val="hybridMultilevel"/>
    <w:tmpl w:val="D7009520"/>
    <w:lvl w:ilvl="0" w:tplc="8E3AEC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sz w:val="16"/>
        <w:szCs w:val="16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94050"/>
    <w:multiLevelType w:val="hybridMultilevel"/>
    <w:tmpl w:val="507AE2FA"/>
    <w:lvl w:ilvl="0" w:tplc="4F4EDEB6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51292"/>
    <w:multiLevelType w:val="hybridMultilevel"/>
    <w:tmpl w:val="36885142"/>
    <w:lvl w:ilvl="0" w:tplc="1186B1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648837">
    <w:abstractNumId w:val="4"/>
  </w:num>
  <w:num w:numId="2" w16cid:durableId="31999216">
    <w:abstractNumId w:val="2"/>
  </w:num>
  <w:num w:numId="3" w16cid:durableId="617565796">
    <w:abstractNumId w:val="1"/>
  </w:num>
  <w:num w:numId="4" w16cid:durableId="2091926035">
    <w:abstractNumId w:val="5"/>
  </w:num>
  <w:num w:numId="5" w16cid:durableId="737750013">
    <w:abstractNumId w:val="0"/>
  </w:num>
  <w:num w:numId="6" w16cid:durableId="1292132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19"/>
    <w:rsid w:val="000D3364"/>
    <w:rsid w:val="0013318F"/>
    <w:rsid w:val="00452222"/>
    <w:rsid w:val="00514BC3"/>
    <w:rsid w:val="00691151"/>
    <w:rsid w:val="008C22BC"/>
    <w:rsid w:val="00A97719"/>
    <w:rsid w:val="00BB4778"/>
    <w:rsid w:val="00BC24E1"/>
    <w:rsid w:val="00D65986"/>
    <w:rsid w:val="00DD3B3C"/>
    <w:rsid w:val="00EA7CAF"/>
    <w:rsid w:val="00F91DB2"/>
    <w:rsid w:val="00FC621A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40AFE5"/>
  <w15:chartTrackingRefBased/>
  <w15:docId w15:val="{320A744E-10CF-BD44-802E-C8BAA97D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7719"/>
    <w:pPr>
      <w:jc w:val="both"/>
    </w:pPr>
    <w:rPr>
      <w:rFonts w:ascii="Arial" w:hAnsi="Arial" w:cs="Arial"/>
      <w:sz w:val="28"/>
      <w:szCs w:val="28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97719"/>
    <w:pPr>
      <w:tabs>
        <w:tab w:val="left" w:pos="7371"/>
      </w:tabs>
      <w:spacing w:before="240" w:after="240"/>
      <w:jc w:val="center"/>
      <w:outlineLvl w:val="0"/>
    </w:pPr>
    <w:rPr>
      <w:b/>
      <w:bCs/>
    </w:rPr>
  </w:style>
  <w:style w:type="paragraph" w:styleId="Titolo2">
    <w:name w:val="heading 2"/>
    <w:basedOn w:val="Paragrafoelenco"/>
    <w:next w:val="Normale"/>
    <w:link w:val="Titolo2Carattere"/>
    <w:uiPriority w:val="9"/>
    <w:unhideWhenUsed/>
    <w:qFormat/>
    <w:rsid w:val="00DD3B3C"/>
    <w:pPr>
      <w:numPr>
        <w:numId w:val="2"/>
      </w:numPr>
      <w:spacing w:after="240"/>
      <w:ind w:left="357" w:hanging="357"/>
      <w:contextualSpacing w:val="0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977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977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977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9771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9771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9771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9771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97719"/>
    <w:rPr>
      <w:rFonts w:ascii="Arial" w:hAnsi="Arial" w:cs="Arial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3B3C"/>
    <w:rPr>
      <w:rFonts w:ascii="Arial" w:hAnsi="Arial" w:cs="Arial"/>
      <w:b/>
      <w:bCs/>
      <w:sz w:val="28"/>
      <w:szCs w:val="28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977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9771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9771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9771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9771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9771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9771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9771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977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9771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977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9771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9771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9771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9771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977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9771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97719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nhideWhenUsed/>
    <w:rsid w:val="00A977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97719"/>
    <w:rPr>
      <w:rFonts w:ascii="Arial" w:hAnsi="Arial" w:cs="Arial"/>
      <w:sz w:val="28"/>
      <w:szCs w:val="28"/>
    </w:rPr>
  </w:style>
  <w:style w:type="paragraph" w:styleId="Pidipagina">
    <w:name w:val="footer"/>
    <w:basedOn w:val="Normale"/>
    <w:link w:val="PidipaginaCarattere"/>
    <w:unhideWhenUsed/>
    <w:rsid w:val="00A977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97719"/>
    <w:rPr>
      <w:rFonts w:ascii="Arial" w:hAnsi="Arial" w:cs="Arial"/>
      <w:sz w:val="28"/>
      <w:szCs w:val="28"/>
    </w:rPr>
  </w:style>
  <w:style w:type="character" w:styleId="Enfasigrassetto">
    <w:name w:val="Strong"/>
    <w:uiPriority w:val="22"/>
    <w:qFormat/>
    <w:rsid w:val="00A977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D2DD90-1974-BE41-8ACA-34E125C3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webmaster</cp:lastModifiedBy>
  <cp:revision>5</cp:revision>
  <dcterms:created xsi:type="dcterms:W3CDTF">2024-03-10T09:45:00Z</dcterms:created>
  <dcterms:modified xsi:type="dcterms:W3CDTF">2024-03-10T11:49:00Z</dcterms:modified>
</cp:coreProperties>
</file>